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DE" w:rsidRDefault="002917DE">
      <w:r>
        <w:t xml:space="preserve">Annual Work Plan: </w:t>
      </w:r>
      <w:r w:rsidRPr="002917DE">
        <w:t xml:space="preserve">Support </w:t>
      </w:r>
      <w:proofErr w:type="gramStart"/>
      <w:r w:rsidR="00EE616F" w:rsidRPr="002917DE">
        <w:t>The</w:t>
      </w:r>
      <w:proofErr w:type="gramEnd"/>
      <w:r w:rsidR="00EE616F" w:rsidRPr="002917DE">
        <w:t xml:space="preserve"> </w:t>
      </w:r>
      <w:r w:rsidRPr="002917DE">
        <w:t xml:space="preserve">State Audit Bureau </w:t>
      </w:r>
      <w:r w:rsidR="00EE616F" w:rsidRPr="002917DE">
        <w:t>To Develop A Performance Management Framework</w:t>
      </w:r>
    </w:p>
    <w:p w:rsidR="002917DE" w:rsidRDefault="002917DE" w:rsidP="005F2818">
      <w:r>
        <w:t xml:space="preserve">Year: </w:t>
      </w:r>
      <w:bookmarkStart w:id="0" w:name="_GoBack"/>
      <w:bookmarkEnd w:id="0"/>
      <w:r w:rsidR="00EE616F">
        <w:t>2016</w:t>
      </w:r>
    </w:p>
    <w:tbl>
      <w:tblPr>
        <w:tblW w:w="5534" w:type="pct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4147"/>
        <w:gridCol w:w="236"/>
        <w:gridCol w:w="223"/>
        <w:gridCol w:w="315"/>
        <w:gridCol w:w="135"/>
        <w:gridCol w:w="406"/>
        <w:gridCol w:w="66"/>
        <w:gridCol w:w="1242"/>
        <w:gridCol w:w="11"/>
        <w:gridCol w:w="2026"/>
        <w:gridCol w:w="2250"/>
      </w:tblGrid>
      <w:tr w:rsidR="000047DF" w:rsidRPr="00535EEC" w:rsidTr="000047DF">
        <w:trPr>
          <w:cantSplit/>
          <w:trHeight w:val="195"/>
        </w:trPr>
        <w:tc>
          <w:tcPr>
            <w:tcW w:w="113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047DF" w:rsidRPr="00535EEC" w:rsidRDefault="000047DF" w:rsidP="00494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5EEC">
              <w:rPr>
                <w:rFonts w:ascii="Arial Narrow" w:hAnsi="Arial Narrow"/>
                <w:sz w:val="18"/>
                <w:szCs w:val="18"/>
              </w:rPr>
              <w:t>EXPECTED  OUTPUTS</w:t>
            </w:r>
          </w:p>
          <w:p w:rsidR="000047DF" w:rsidRPr="00535EEC" w:rsidRDefault="000047DF" w:rsidP="00494C9E">
            <w:pPr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4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047DF" w:rsidRPr="00535EEC" w:rsidRDefault="000047DF" w:rsidP="00494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5EEC">
              <w:rPr>
                <w:rFonts w:ascii="Arial Narrow" w:hAnsi="Arial Narrow"/>
                <w:sz w:val="18"/>
                <w:szCs w:val="18"/>
              </w:rPr>
              <w:t>PLANNED ACTIVITIES</w:t>
            </w:r>
          </w:p>
        </w:tc>
        <w:tc>
          <w:tcPr>
            <w:tcW w:w="482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5EEC">
              <w:rPr>
                <w:rFonts w:ascii="Arial Narrow" w:hAnsi="Arial Narrow"/>
                <w:sz w:val="18"/>
                <w:szCs w:val="18"/>
              </w:rPr>
              <w:t>TIMEFRAME</w:t>
            </w:r>
          </w:p>
        </w:tc>
        <w:tc>
          <w:tcPr>
            <w:tcW w:w="193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5EEC">
              <w:rPr>
                <w:rFonts w:ascii="Arial Narrow" w:hAnsi="Arial Narrow"/>
                <w:sz w:val="18"/>
                <w:szCs w:val="18"/>
              </w:rPr>
              <w:t>PLANNED BUDGET</w:t>
            </w:r>
          </w:p>
        </w:tc>
      </w:tr>
      <w:tr w:rsidR="000047DF" w:rsidRPr="00535EEC" w:rsidTr="000047DF">
        <w:trPr>
          <w:cantSplit/>
          <w:trHeight w:val="465"/>
        </w:trPr>
        <w:tc>
          <w:tcPr>
            <w:tcW w:w="113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7DF" w:rsidRPr="00535EEC" w:rsidRDefault="000047DF" w:rsidP="00494C9E">
            <w:pPr>
              <w:keepNext/>
              <w:spacing w:before="240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7DF" w:rsidRPr="00535EEC" w:rsidRDefault="000047DF" w:rsidP="00494C9E">
            <w:pPr>
              <w:keepNext/>
              <w:spacing w:before="240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7DF" w:rsidRPr="00535EEC" w:rsidRDefault="005F2818" w:rsidP="00494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Q1</w:t>
            </w:r>
          </w:p>
        </w:tc>
        <w:tc>
          <w:tcPr>
            <w:tcW w:w="1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7DF" w:rsidRPr="00535EEC" w:rsidRDefault="005F2818" w:rsidP="00494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Q2</w:t>
            </w: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7DF" w:rsidRPr="00535EEC" w:rsidRDefault="005F2818" w:rsidP="00494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5EEC">
              <w:rPr>
                <w:rFonts w:ascii="Arial Narrow" w:hAnsi="Arial Narrow"/>
                <w:sz w:val="18"/>
                <w:szCs w:val="18"/>
              </w:rPr>
              <w:t>Funding Source</w:t>
            </w:r>
          </w:p>
        </w:tc>
        <w:tc>
          <w:tcPr>
            <w:tcW w:w="71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5EEC">
              <w:rPr>
                <w:rFonts w:ascii="Arial Narrow" w:hAnsi="Arial Narrow"/>
                <w:sz w:val="18"/>
                <w:szCs w:val="18"/>
              </w:rPr>
              <w:t>Budget Description</w:t>
            </w:r>
          </w:p>
        </w:tc>
        <w:tc>
          <w:tcPr>
            <w:tcW w:w="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35EEC">
              <w:rPr>
                <w:rFonts w:ascii="Arial Narrow" w:hAnsi="Arial Narrow"/>
                <w:sz w:val="18"/>
                <w:szCs w:val="18"/>
              </w:rPr>
              <w:t>Amount</w:t>
            </w:r>
          </w:p>
        </w:tc>
      </w:tr>
      <w:tr w:rsidR="007E15B5" w:rsidRPr="00535EEC" w:rsidTr="007E15B5">
        <w:trPr>
          <w:cantSplit/>
          <w:trHeight w:val="951"/>
        </w:trPr>
        <w:tc>
          <w:tcPr>
            <w:tcW w:w="1137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E15B5" w:rsidRPr="00535EEC" w:rsidRDefault="007E15B5" w:rsidP="00494C9E">
            <w:pPr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7E15B5" w:rsidRPr="00120B55" w:rsidRDefault="007E15B5" w:rsidP="00494C9E">
            <w:pPr>
              <w:jc w:val="left"/>
              <w:rPr>
                <w:rFonts w:ascii="Arial Narrow" w:hAnsi="Arial Narrow" w:cs="Arial"/>
                <w:bCs w:val="0"/>
                <w:iCs/>
                <w:sz w:val="18"/>
                <w:szCs w:val="18"/>
              </w:rPr>
            </w:pPr>
            <w:r w:rsidRPr="00535EE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Output 1: </w:t>
            </w:r>
            <w:r w:rsidRPr="00535EEC">
              <w:rPr>
                <w:rFonts w:ascii="Arial Narrow" w:hAnsi="Arial Narrow"/>
                <w:bCs w:val="0"/>
                <w:color w:val="auto"/>
                <w:sz w:val="18"/>
                <w:szCs w:val="18"/>
              </w:rPr>
              <w:t>Improved legal and institutional frameworks to facilitate performance effectiveness</w:t>
            </w:r>
          </w:p>
          <w:p w:rsidR="007E15B5" w:rsidRPr="00535EEC" w:rsidRDefault="007E15B5" w:rsidP="00494C9E">
            <w:pPr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35EE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Output Indicators: </w:t>
            </w:r>
          </w:p>
          <w:p w:rsidR="007E15B5" w:rsidRPr="00535EEC" w:rsidRDefault="007E15B5" w:rsidP="000047D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35EEC">
              <w:rPr>
                <w:rFonts w:ascii="Arial Narrow" w:hAnsi="Arial Narrow" w:cs="Arial"/>
                <w:b w:val="0"/>
                <w:sz w:val="18"/>
                <w:szCs w:val="18"/>
              </w:rPr>
              <w:t>Availability of an  operational performance management and oversight function</w:t>
            </w:r>
          </w:p>
          <w:p w:rsidR="007E15B5" w:rsidRPr="00535EEC" w:rsidRDefault="007E15B5" w:rsidP="000047D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35EEC">
              <w:rPr>
                <w:rFonts w:ascii="Arial Narrow" w:hAnsi="Arial Narrow" w:cs="Arial"/>
                <w:b w:val="0"/>
                <w:sz w:val="18"/>
                <w:szCs w:val="18"/>
              </w:rPr>
              <w:t>Number of Government bodies adopting performance management and monitoring systems</w:t>
            </w:r>
          </w:p>
          <w:p w:rsidR="007E15B5" w:rsidRPr="00535EEC" w:rsidRDefault="007E15B5" w:rsidP="000047D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35EEC">
              <w:rPr>
                <w:rFonts w:ascii="Arial Narrow" w:hAnsi="Arial Narrow" w:cs="Arial"/>
                <w:b w:val="0"/>
                <w:sz w:val="18"/>
                <w:szCs w:val="18"/>
                <w:lang w:val="en-GB"/>
              </w:rPr>
              <w:t>Number of scorecards for each entity and KPI Dictionary, no. of agreed KPIs with targets and owners, no. of baseline dashboard reports, no. of KPI prioritized,  and availability of a performance management reporting framework, and performance management system.</w:t>
            </w:r>
          </w:p>
          <w:p w:rsidR="007E15B5" w:rsidRPr="00535EEC" w:rsidRDefault="007E15B5" w:rsidP="00494C9E">
            <w:pPr>
              <w:pStyle w:val="ListParagraph"/>
              <w:ind w:left="36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7E15B5" w:rsidRPr="00535EEC" w:rsidRDefault="007E15B5" w:rsidP="00494C9E">
            <w:pPr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35EEC">
              <w:rPr>
                <w:rFonts w:ascii="Arial Narrow" w:hAnsi="Arial Narrow" w:cs="Arial"/>
                <w:b w:val="0"/>
                <w:sz w:val="18"/>
                <w:szCs w:val="18"/>
              </w:rPr>
              <w:t>Baseline: This function is not fully implemented at the State Audit Bureau and the selected pilot entities within the Government</w:t>
            </w:r>
          </w:p>
          <w:p w:rsidR="007E15B5" w:rsidRPr="00535EEC" w:rsidRDefault="007E15B5" w:rsidP="00494C9E">
            <w:pPr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35EEC">
              <w:rPr>
                <w:rFonts w:ascii="Arial Narrow" w:hAnsi="Arial Narrow" w:cs="Arial"/>
                <w:b w:val="0"/>
                <w:sz w:val="18"/>
                <w:szCs w:val="18"/>
              </w:rPr>
              <w:t>Related CP outcome: (1.2) Improved transparency and accountability at the National level</w:t>
            </w:r>
          </w:p>
          <w:p w:rsidR="007E15B5" w:rsidRPr="00535EEC" w:rsidRDefault="007E15B5" w:rsidP="00494C9E">
            <w:pPr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tcBorders>
              <w:top w:val="double" w:sz="4" w:space="0" w:color="auto"/>
            </w:tcBorders>
            <w:shd w:val="clear" w:color="auto" w:fill="auto"/>
          </w:tcPr>
          <w:p w:rsidR="007E15B5" w:rsidRPr="00535EEC" w:rsidRDefault="007E15B5" w:rsidP="00494C9E">
            <w:pPr>
              <w:ind w:hanging="28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7E15B5" w:rsidRDefault="007E15B5" w:rsidP="00494C9E">
            <w:pPr>
              <w:pStyle w:val="NoSpacing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35EEC">
              <w:rPr>
                <w:rFonts w:ascii="Arial Narrow" w:hAnsi="Arial Narrow"/>
                <w:sz w:val="18"/>
                <w:szCs w:val="18"/>
              </w:rPr>
              <w:t xml:space="preserve">Activity Result 1: Assess the “As-Is” situation of Performance Management, monitoring, and control mechanisms at the State Audit Bureau and the selected “Pilot” governmental sectors/entities from a </w:t>
            </w:r>
            <w:r w:rsidRPr="00535EEC">
              <w:rPr>
                <w:rFonts w:ascii="Arial Narrow" w:hAnsi="Arial Narrow"/>
                <w:i/>
                <w:iCs/>
                <w:sz w:val="18"/>
                <w:szCs w:val="18"/>
              </w:rPr>
              <w:t>People, Process, and Technology Perspective</w:t>
            </w:r>
          </w:p>
          <w:p w:rsidR="007E15B5" w:rsidRPr="00535EEC" w:rsidRDefault="007E15B5" w:rsidP="00494C9E">
            <w:pPr>
              <w:pStyle w:val="NoSpacing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:rsidR="007E15B5" w:rsidRPr="00120B55" w:rsidRDefault="007E15B5" w:rsidP="00494C9E">
            <w:pPr>
              <w:ind w:hanging="28"/>
              <w:rPr>
                <w:rFonts w:ascii="Arial Narrow" w:hAnsi="Arial Narrow" w:cs="Arial"/>
                <w:b w:val="0"/>
                <w:iCs/>
                <w:sz w:val="18"/>
                <w:szCs w:val="18"/>
                <w:u w:val="single"/>
              </w:rPr>
            </w:pPr>
            <w:r w:rsidRPr="00535EEC">
              <w:rPr>
                <w:rFonts w:ascii="Arial Narrow" w:hAnsi="Arial Narrow" w:cs="Arial"/>
                <w:b w:val="0"/>
                <w:iCs/>
                <w:sz w:val="18"/>
                <w:szCs w:val="18"/>
                <w:u w:val="single"/>
              </w:rPr>
              <w:t>Actions:</w:t>
            </w:r>
          </w:p>
        </w:tc>
        <w:tc>
          <w:tcPr>
            <w:tcW w:w="160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7E15B5" w:rsidRDefault="007E15B5" w:rsidP="00494C9E">
            <w:pPr>
              <w:jc w:val="center"/>
              <w:rPr>
                <w:rFonts w:ascii="Arial Narrow" w:hAnsi="Arial Narrow"/>
                <w:b w:val="0"/>
              </w:rPr>
            </w:pPr>
          </w:p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E15B5" w:rsidRPr="00535EEC" w:rsidRDefault="007E15B5" w:rsidP="007E15B5">
            <w:pPr>
              <w:pStyle w:val="ListParagraph"/>
              <w:ind w:left="360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7E15B5">
              <w:rPr>
                <w:rFonts w:ascii="Arial Narrow" w:hAnsi="Arial Narrow"/>
                <w:bCs w:val="0"/>
                <w:sz w:val="18"/>
                <w:szCs w:val="18"/>
              </w:rPr>
              <w:t>$ 222,718</w:t>
            </w:r>
          </w:p>
        </w:tc>
      </w:tr>
      <w:tr w:rsidR="007E15B5" w:rsidRPr="00535EEC" w:rsidTr="000047DF">
        <w:trPr>
          <w:cantSplit/>
          <w:trHeight w:val="692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</w:tcPr>
          <w:p w:rsidR="007E15B5" w:rsidRPr="00120B55" w:rsidRDefault="007E15B5" w:rsidP="000047D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6072BD">
              <w:rPr>
                <w:rFonts w:ascii="Arial Narrow" w:hAnsi="Arial Narrow" w:cs="Arial"/>
                <w:b w:val="0"/>
                <w:sz w:val="18"/>
                <w:szCs w:val="18"/>
              </w:rPr>
              <w:t>Conduct a review of the current SAB and government entity strategic plans and capabilities.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7E15B5" w:rsidRPr="00535EEC" w:rsidTr="000047DF">
        <w:trPr>
          <w:cantSplit/>
          <w:trHeight w:val="950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</w:tcPr>
          <w:p w:rsidR="007E15B5" w:rsidRPr="00535EEC" w:rsidRDefault="007E15B5" w:rsidP="000047D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6072BD">
              <w:rPr>
                <w:rFonts w:ascii="Arial Narrow" w:hAnsi="Arial Narrow" w:cs="Arial"/>
                <w:b w:val="0"/>
                <w:sz w:val="18"/>
                <w:szCs w:val="18"/>
              </w:rPr>
              <w:t>Provide analysis on linkages and gaps between the strategic plans/capacities and performance management for the Kuwait Vision 2035 and the Kuwait National Development Plan (KNDP) 2015-16/-2018/2019.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7E15B5" w:rsidRPr="00535EEC" w:rsidTr="000047DF">
        <w:trPr>
          <w:cantSplit/>
          <w:trHeight w:val="701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auto"/>
          </w:tcPr>
          <w:p w:rsidR="007E15B5" w:rsidRPr="00535EEC" w:rsidRDefault="007E15B5" w:rsidP="000047D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6072BD">
              <w:rPr>
                <w:rFonts w:ascii="Arial Narrow" w:hAnsi="Arial Narrow" w:cs="Arial"/>
                <w:b w:val="0"/>
                <w:sz w:val="18"/>
                <w:szCs w:val="18"/>
              </w:rPr>
              <w:t>Evaluation of international best practices, which could be applied to the Kuwaiti context.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7E15B5" w:rsidRPr="00535EEC" w:rsidTr="000047DF">
        <w:trPr>
          <w:cantSplit/>
          <w:trHeight w:val="1187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</w:tcPr>
          <w:p w:rsidR="007E15B5" w:rsidRDefault="007E15B5" w:rsidP="00494C9E">
            <w:pPr>
              <w:pStyle w:val="NoSpacing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7E15B5" w:rsidRDefault="007E15B5" w:rsidP="00494C9E">
            <w:pPr>
              <w:pStyle w:val="NoSpacing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35EEC">
              <w:rPr>
                <w:rFonts w:ascii="Arial Narrow" w:hAnsi="Arial Narrow"/>
                <w:sz w:val="18"/>
                <w:szCs w:val="18"/>
              </w:rPr>
              <w:t>Activity Result 2: Design a Balanced Scorecard-Based Performance Management Framework</w:t>
            </w:r>
          </w:p>
          <w:p w:rsidR="007E15B5" w:rsidRDefault="007E15B5" w:rsidP="00494C9E">
            <w:pPr>
              <w:pStyle w:val="NoSpacing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7E15B5" w:rsidRDefault="007E15B5" w:rsidP="00494C9E">
            <w:pPr>
              <w:ind w:hanging="28"/>
              <w:rPr>
                <w:rFonts w:ascii="Arial Narrow" w:hAnsi="Arial Narrow" w:cs="Arial"/>
                <w:b w:val="0"/>
                <w:sz w:val="18"/>
                <w:szCs w:val="18"/>
                <w:u w:val="single"/>
              </w:rPr>
            </w:pPr>
            <w:r w:rsidRPr="00535EEC">
              <w:rPr>
                <w:rFonts w:ascii="Arial Narrow" w:hAnsi="Arial Narrow" w:cs="Arial"/>
                <w:b w:val="0"/>
                <w:sz w:val="18"/>
                <w:szCs w:val="18"/>
                <w:u w:val="single"/>
              </w:rPr>
              <w:t>Actions:</w:t>
            </w:r>
          </w:p>
          <w:p w:rsidR="007E15B5" w:rsidRPr="00120B55" w:rsidRDefault="007E15B5" w:rsidP="00494C9E">
            <w:pPr>
              <w:rPr>
                <w:rFonts w:ascii="Arial Narrow" w:hAnsi="Arial Narrow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7E15B5" w:rsidRPr="00535EEC" w:rsidTr="007E15B5">
        <w:trPr>
          <w:cantSplit/>
          <w:trHeight w:val="380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7E15B5" w:rsidRPr="00A75A2F" w:rsidRDefault="007E15B5" w:rsidP="000047D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6072BD">
              <w:rPr>
                <w:rFonts w:ascii="Arial Narrow" w:hAnsi="Arial Narrow" w:cs="Arial"/>
                <w:b w:val="0"/>
                <w:sz w:val="18"/>
                <w:szCs w:val="18"/>
              </w:rPr>
              <w:t>Develop a work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-</w:t>
            </w:r>
            <w:r w:rsidRPr="006072BD">
              <w:rPr>
                <w:rFonts w:ascii="Arial Narrow" w:hAnsi="Arial Narrow" w:cs="Arial"/>
                <w:b w:val="0"/>
                <w:sz w:val="18"/>
                <w:szCs w:val="18"/>
              </w:rPr>
              <w:t>plan for the subsequent development process of a responsive Performance Management Framework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B93F47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750477" w:rsidRDefault="007E15B5" w:rsidP="00494C9E">
            <w:pPr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7E15B5">
              <w:rPr>
                <w:rFonts w:ascii="Arial Narrow" w:hAnsi="Arial Narrow"/>
                <w:bCs w:val="0"/>
                <w:sz w:val="18"/>
                <w:szCs w:val="18"/>
              </w:rPr>
              <w:t>$ 20,000</w:t>
            </w:r>
          </w:p>
        </w:tc>
      </w:tr>
      <w:tr w:rsidR="000047DF" w:rsidRPr="00535EEC" w:rsidTr="007E15B5">
        <w:trPr>
          <w:cantSplit/>
          <w:trHeight w:val="380"/>
        </w:trPr>
        <w:tc>
          <w:tcPr>
            <w:tcW w:w="1137" w:type="pct"/>
            <w:vMerge/>
            <w:shd w:val="clear" w:color="auto" w:fill="auto"/>
          </w:tcPr>
          <w:p w:rsidR="000047DF" w:rsidRPr="00535EEC" w:rsidRDefault="000047DF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047DF" w:rsidRPr="00A75A2F" w:rsidRDefault="000047DF" w:rsidP="000047D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A75A2F">
              <w:rPr>
                <w:rFonts w:ascii="Arial Narrow" w:hAnsi="Arial Narrow" w:cs="Arial"/>
                <w:b w:val="0"/>
                <w:sz w:val="18"/>
                <w:szCs w:val="18"/>
              </w:rPr>
              <w:t>Create a Performance Management Framework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165" w:type="pct"/>
            <w:gridSpan w:val="2"/>
            <w:shd w:val="clear" w:color="auto" w:fill="auto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0047DF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7E15B5">
              <w:rPr>
                <w:rFonts w:ascii="Arial Narrow" w:hAnsi="Arial Narrow"/>
                <w:bCs w:val="0"/>
                <w:sz w:val="18"/>
                <w:szCs w:val="18"/>
              </w:rPr>
              <w:t>$ 291,262</w:t>
            </w:r>
          </w:p>
        </w:tc>
      </w:tr>
      <w:tr w:rsidR="000047DF" w:rsidRPr="00535EEC" w:rsidTr="000047DF">
        <w:trPr>
          <w:cantSplit/>
          <w:trHeight w:val="380"/>
        </w:trPr>
        <w:tc>
          <w:tcPr>
            <w:tcW w:w="1137" w:type="pct"/>
            <w:vMerge/>
            <w:shd w:val="clear" w:color="auto" w:fill="auto"/>
          </w:tcPr>
          <w:p w:rsidR="000047DF" w:rsidRPr="00535EEC" w:rsidRDefault="000047DF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047DF" w:rsidRPr="00535EEC" w:rsidRDefault="000047DF" w:rsidP="00494C9E">
            <w:pPr>
              <w:ind w:hanging="28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535EEC">
              <w:rPr>
                <w:rFonts w:ascii="Arial Narrow" w:hAnsi="Arial Narrow" w:cs="Arial"/>
                <w:bCs w:val="0"/>
                <w:sz w:val="18"/>
                <w:szCs w:val="18"/>
              </w:rPr>
              <w:t>Activity Result 3: Develop the Key Performance Indicators (KPIs) and Reporting Framework</w:t>
            </w:r>
          </w:p>
          <w:p w:rsidR="000047DF" w:rsidRPr="00750477" w:rsidRDefault="000047DF" w:rsidP="00494C9E">
            <w:pPr>
              <w:ind w:hanging="28"/>
              <w:rPr>
                <w:rFonts w:ascii="Arial Narrow" w:hAnsi="Arial Narrow" w:cs="Arial"/>
                <w:b w:val="0"/>
                <w:sz w:val="18"/>
                <w:szCs w:val="18"/>
                <w:u w:val="single"/>
              </w:rPr>
            </w:pPr>
            <w:r w:rsidRPr="00535EEC">
              <w:rPr>
                <w:rFonts w:ascii="Arial Narrow" w:hAnsi="Arial Narrow" w:cs="Arial"/>
                <w:b w:val="0"/>
                <w:sz w:val="18"/>
                <w:szCs w:val="18"/>
                <w:u w:val="single"/>
              </w:rPr>
              <w:t>Actions: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 w:val="restart"/>
            <w:shd w:val="clear" w:color="auto" w:fill="auto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auto"/>
          </w:tcPr>
          <w:p w:rsidR="000047DF" w:rsidRPr="007E15B5" w:rsidRDefault="000047DF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7E15B5" w:rsidRPr="00535EEC" w:rsidTr="007E15B5">
        <w:trPr>
          <w:cantSplit/>
          <w:trHeight w:val="377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7E15B5" w:rsidRPr="00750477" w:rsidRDefault="007E15B5" w:rsidP="000047D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6072BD">
              <w:rPr>
                <w:rFonts w:ascii="Arial Narrow" w:hAnsi="Arial Narrow" w:cs="Arial"/>
                <w:b w:val="0"/>
                <w:sz w:val="18"/>
                <w:szCs w:val="18"/>
              </w:rPr>
              <w:t>Develop KPIs and for three key sectors (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education, health and oil)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7E15B5">
              <w:rPr>
                <w:rFonts w:ascii="Arial Narrow" w:hAnsi="Arial Narrow"/>
                <w:bCs w:val="0"/>
                <w:sz w:val="18"/>
                <w:szCs w:val="18"/>
              </w:rPr>
              <w:t>$ 24,2718</w:t>
            </w:r>
          </w:p>
        </w:tc>
      </w:tr>
      <w:tr w:rsidR="007E15B5" w:rsidRPr="00535EEC" w:rsidTr="000047DF">
        <w:trPr>
          <w:cantSplit/>
          <w:trHeight w:val="377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7E15B5" w:rsidRPr="00750477" w:rsidRDefault="007E15B5" w:rsidP="000047D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Organize workshops around the development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7E15B5" w:rsidRPr="00535EEC" w:rsidTr="000047DF">
        <w:trPr>
          <w:cantSplit/>
          <w:trHeight w:val="377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7E15B5" w:rsidRPr="00750477" w:rsidRDefault="007E15B5" w:rsidP="000047D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 w:rsidRPr="00750477">
              <w:rPr>
                <w:rFonts w:ascii="Arial Narrow" w:hAnsi="Arial Narrow" w:cs="Arial"/>
                <w:b w:val="0"/>
                <w:sz w:val="18"/>
                <w:szCs w:val="18"/>
              </w:rPr>
              <w:t>evelop baseline reporting and performance management mechanisms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7E15B5" w:rsidRPr="00535EEC" w:rsidTr="007E15B5">
        <w:trPr>
          <w:cantSplit/>
          <w:trHeight w:val="864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</w:tcPr>
          <w:p w:rsidR="007E15B5" w:rsidRPr="00535EEC" w:rsidRDefault="007E15B5" w:rsidP="00494C9E">
            <w:pPr>
              <w:pStyle w:val="Header"/>
              <w:tabs>
                <w:tab w:val="num" w:pos="432"/>
              </w:tabs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:rsidR="007E15B5" w:rsidRPr="00404137" w:rsidRDefault="007E15B5" w:rsidP="00494C9E">
            <w:pPr>
              <w:jc w:val="left"/>
              <w:rPr>
                <w:rFonts w:ascii="Arial Narrow" w:hAnsi="Arial Narrow" w:cs="Arial"/>
                <w:bCs w:val="0"/>
                <w:i/>
                <w:sz w:val="22"/>
                <w:szCs w:val="22"/>
                <w:u w:val="single"/>
              </w:rPr>
            </w:pPr>
            <w:r w:rsidRPr="00535EEC">
              <w:rPr>
                <w:rFonts w:ascii="Arial Narrow" w:hAnsi="Arial Narrow"/>
                <w:sz w:val="18"/>
                <w:szCs w:val="18"/>
              </w:rPr>
              <w:t xml:space="preserve">Activity Result 4: </w:t>
            </w:r>
            <w:r w:rsidRPr="00856BEE">
              <w:rPr>
                <w:rFonts w:ascii="Arial Narrow" w:hAnsi="Arial Narrow" w:cs="Arial"/>
                <w:bCs w:val="0"/>
                <w:iCs/>
                <w:sz w:val="20"/>
                <w:szCs w:val="20"/>
              </w:rPr>
              <w:t>Support the implementation and operation of the new National Performance Management Operating Model and System at the State Audit Bureau and Train Staff</w:t>
            </w:r>
          </w:p>
          <w:p w:rsidR="007E15B5" w:rsidRDefault="007E15B5" w:rsidP="00494C9E">
            <w:pPr>
              <w:pStyle w:val="NoSpacing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7E15B5" w:rsidRPr="00535EEC" w:rsidRDefault="007E15B5" w:rsidP="00494C9E">
            <w:pPr>
              <w:pStyle w:val="Header"/>
              <w:rPr>
                <w:rFonts w:ascii="Arial Narrow" w:hAnsi="Arial Narrow" w:cs="Arial"/>
                <w:b w:val="0"/>
                <w:sz w:val="18"/>
                <w:szCs w:val="18"/>
                <w:u w:val="single"/>
              </w:rPr>
            </w:pPr>
            <w:r w:rsidRPr="00535EEC">
              <w:rPr>
                <w:rFonts w:ascii="Arial Narrow" w:hAnsi="Arial Narrow" w:cs="Arial"/>
                <w:b w:val="0"/>
                <w:sz w:val="18"/>
                <w:szCs w:val="18"/>
                <w:u w:val="single"/>
              </w:rPr>
              <w:t>Actions:</w:t>
            </w:r>
          </w:p>
          <w:p w:rsidR="007E15B5" w:rsidRPr="00B2666D" w:rsidRDefault="007E15B5" w:rsidP="00494C9E">
            <w:pPr>
              <w:pStyle w:val="ListParagraph"/>
              <w:spacing w:line="240" w:lineRule="auto"/>
              <w:ind w:left="360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 w:val="restart"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7E15B5">
              <w:rPr>
                <w:rFonts w:ascii="Arial Narrow" w:hAnsi="Arial Narrow"/>
                <w:bCs w:val="0"/>
                <w:sz w:val="18"/>
                <w:szCs w:val="18"/>
              </w:rPr>
              <w:t>$ 87378</w:t>
            </w:r>
          </w:p>
        </w:tc>
      </w:tr>
      <w:tr w:rsidR="007E15B5" w:rsidRPr="00535EEC" w:rsidTr="000047DF">
        <w:trPr>
          <w:cantSplit/>
          <w:trHeight w:val="998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</w:tcPr>
          <w:p w:rsidR="007E15B5" w:rsidRPr="00750477" w:rsidRDefault="007E15B5" w:rsidP="000047DF">
            <w:pPr>
              <w:numPr>
                <w:ilvl w:val="0"/>
                <w:numId w:val="5"/>
              </w:numPr>
              <w:tabs>
                <w:tab w:val="num" w:pos="1800"/>
              </w:tabs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 w:rsidRPr="003F0FD8">
              <w:rPr>
                <w:rFonts w:ascii="Arial Narrow" w:hAnsi="Arial Narrow" w:cs="Arial"/>
                <w:b w:val="0"/>
                <w:sz w:val="18"/>
                <w:szCs w:val="18"/>
              </w:rPr>
              <w:t>Conduct training</w:t>
            </w:r>
            <w:r w:rsidRPr="00120B55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 awareness orientation for State Audit Bureau employees about performance monitoring processes and value</w:t>
            </w: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s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434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7E15B5" w:rsidRPr="00535EEC" w:rsidTr="000047DF">
        <w:trPr>
          <w:cantSplit/>
          <w:trHeight w:val="485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</w:tcPr>
          <w:p w:rsidR="007E15B5" w:rsidRPr="00750477" w:rsidRDefault="007E15B5" w:rsidP="000047DF">
            <w:pPr>
              <w:numPr>
                <w:ilvl w:val="0"/>
                <w:numId w:val="5"/>
              </w:numPr>
              <w:tabs>
                <w:tab w:val="num" w:pos="1800"/>
              </w:tabs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Develop </w:t>
            </w:r>
            <w:r w:rsidRPr="00120B55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 xml:space="preserve">the system within the state Audit Bureau. 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434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7E15B5" w:rsidRPr="00535EEC" w:rsidTr="000047DF">
        <w:trPr>
          <w:cantSplit/>
          <w:trHeight w:val="746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</w:tcPr>
          <w:p w:rsidR="007E15B5" w:rsidRPr="00750477" w:rsidRDefault="007E15B5" w:rsidP="000047DF">
            <w:pPr>
              <w:numPr>
                <w:ilvl w:val="0"/>
                <w:numId w:val="5"/>
              </w:numPr>
              <w:tabs>
                <w:tab w:val="num" w:pos="1800"/>
              </w:tabs>
              <w:jc w:val="left"/>
              <w:rPr>
                <w:rFonts w:ascii="Arial Narrow" w:hAnsi="Arial Narrow" w:cs="Arial"/>
                <w:b w:val="0"/>
                <w:iCs/>
                <w:sz w:val="20"/>
                <w:szCs w:val="20"/>
              </w:rPr>
            </w:pPr>
            <w:r w:rsidRPr="00120B55">
              <w:rPr>
                <w:rFonts w:ascii="Arial Narrow" w:hAnsi="Arial Narrow" w:cs="Arial"/>
                <w:b w:val="0"/>
                <w:iCs/>
                <w:sz w:val="20"/>
                <w:szCs w:val="20"/>
              </w:rPr>
              <w:t>Prepare training material/schedules to train State Audit Bureau’s personnel on how to use the tool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434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7E15B5" w:rsidRPr="00535EEC" w:rsidTr="000047DF">
        <w:trPr>
          <w:cantSplit/>
          <w:trHeight w:val="336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</w:tcPr>
          <w:p w:rsidR="007E15B5" w:rsidRPr="00750477" w:rsidRDefault="007E15B5" w:rsidP="000047D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6072BD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Conduct the training programme for SAB 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434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  <w:tr w:rsidR="007E15B5" w:rsidRPr="00535EEC" w:rsidTr="007E15B5">
        <w:trPr>
          <w:cantSplit/>
          <w:trHeight w:val="702"/>
        </w:trPr>
        <w:tc>
          <w:tcPr>
            <w:tcW w:w="1137" w:type="pct"/>
            <w:vMerge w:val="restart"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</w:tcPr>
          <w:p w:rsidR="007E15B5" w:rsidRPr="00856BEE" w:rsidRDefault="007E15B5" w:rsidP="00494C9E">
            <w:pPr>
              <w:jc w:val="left"/>
              <w:rPr>
                <w:rFonts w:ascii="Arial Narrow" w:hAnsi="Arial Narrow" w:cs="Arial"/>
                <w:bCs w:val="0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0"/>
                <w:szCs w:val="20"/>
              </w:rPr>
              <w:t>Activity Result 5</w:t>
            </w:r>
            <w:r w:rsidRPr="00856BEE">
              <w:rPr>
                <w:rFonts w:ascii="Arial Narrow" w:hAnsi="Arial Narrow" w:cs="Arial"/>
                <w:bCs w:val="0"/>
                <w:iCs/>
                <w:sz w:val="20"/>
                <w:szCs w:val="20"/>
              </w:rPr>
              <w:t>:</w:t>
            </w:r>
            <w:r w:rsidRPr="00856BEE">
              <w:rPr>
                <w:rFonts w:ascii="Arial Narrow" w:hAnsi="Arial Narrow" w:cs="Arial"/>
                <w:bCs w:val="0"/>
                <w:i/>
                <w:sz w:val="20"/>
                <w:szCs w:val="20"/>
              </w:rPr>
              <w:t xml:space="preserve"> </w:t>
            </w:r>
            <w:r w:rsidRPr="00856BEE">
              <w:rPr>
                <w:rFonts w:ascii="Arial Narrow" w:hAnsi="Arial Narrow" w:cs="Arial"/>
                <w:bCs w:val="0"/>
                <w:iCs/>
                <w:sz w:val="20"/>
                <w:szCs w:val="20"/>
              </w:rPr>
              <w:t xml:space="preserve">Support the implementation and operation of the new National Performance Management Operating Model and System at the selected  pilot sectors (Education, Health and </w:t>
            </w:r>
            <w:r>
              <w:rPr>
                <w:rFonts w:ascii="Arial Narrow" w:hAnsi="Arial Narrow" w:cs="Arial"/>
                <w:bCs w:val="0"/>
                <w:iCs/>
                <w:sz w:val="20"/>
                <w:szCs w:val="20"/>
              </w:rPr>
              <w:t>Oil and Gas</w:t>
            </w:r>
            <w:r w:rsidRPr="00856BEE">
              <w:rPr>
                <w:rFonts w:ascii="Arial Narrow" w:hAnsi="Arial Narrow" w:cs="Arial"/>
                <w:bCs w:val="0"/>
                <w:iCs/>
                <w:sz w:val="20"/>
                <w:szCs w:val="20"/>
              </w:rPr>
              <w:t>) and train staff</w:t>
            </w:r>
          </w:p>
          <w:p w:rsidR="007E15B5" w:rsidRPr="00750477" w:rsidRDefault="007E15B5" w:rsidP="00494C9E">
            <w:pPr>
              <w:pStyle w:val="Header"/>
              <w:rPr>
                <w:rFonts w:ascii="Arial Narrow" w:hAnsi="Arial Narrow" w:cs="Arial"/>
                <w:b w:val="0"/>
                <w:sz w:val="20"/>
                <w:szCs w:val="20"/>
                <w:u w:val="single"/>
              </w:rPr>
            </w:pPr>
            <w:r w:rsidRPr="00856BEE">
              <w:rPr>
                <w:rFonts w:ascii="Arial Narrow" w:hAnsi="Arial Narrow" w:cs="Arial"/>
                <w:b w:val="0"/>
                <w:sz w:val="20"/>
                <w:szCs w:val="20"/>
                <w:u w:val="single"/>
              </w:rPr>
              <w:t>Actions: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 w:val="restart"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7E15B5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7E15B5">
              <w:rPr>
                <w:rFonts w:ascii="Arial Narrow" w:hAnsi="Arial Narrow"/>
                <w:bCs w:val="0"/>
                <w:sz w:val="18"/>
                <w:szCs w:val="18"/>
              </w:rPr>
              <w:t>$ 87,378</w:t>
            </w:r>
          </w:p>
        </w:tc>
      </w:tr>
      <w:tr w:rsidR="007E15B5" w:rsidRPr="00535EEC" w:rsidTr="000047DF">
        <w:trPr>
          <w:cantSplit/>
          <w:trHeight w:val="701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</w:tcPr>
          <w:p w:rsidR="007E15B5" w:rsidRPr="00750477" w:rsidRDefault="007E15B5" w:rsidP="000047D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7A34">
              <w:rPr>
                <w:rFonts w:ascii="Arial Narrow" w:hAnsi="Arial Narrow" w:cs="Arial"/>
                <w:b w:val="0"/>
                <w:sz w:val="18"/>
                <w:szCs w:val="18"/>
              </w:rPr>
              <w:t>Provide required awareness and orientation for the pilot entities employees about performance monitoring processes and value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434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7E15B5" w:rsidRPr="00535EEC" w:rsidTr="000047DF">
        <w:trPr>
          <w:cantSplit/>
          <w:trHeight w:val="701"/>
        </w:trPr>
        <w:tc>
          <w:tcPr>
            <w:tcW w:w="1137" w:type="pct"/>
            <w:vMerge/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shd w:val="clear" w:color="auto" w:fill="auto"/>
          </w:tcPr>
          <w:p w:rsidR="007E15B5" w:rsidRPr="00750477" w:rsidRDefault="007E15B5" w:rsidP="000047D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Develop and rollout </w:t>
            </w:r>
            <w:r w:rsidRPr="009D7A34">
              <w:rPr>
                <w:rFonts w:ascii="Arial Narrow" w:hAnsi="Arial Narrow" w:cs="Arial"/>
                <w:b w:val="0"/>
                <w:sz w:val="18"/>
                <w:szCs w:val="18"/>
              </w:rPr>
              <w:t>the system within the entities</w:t>
            </w:r>
          </w:p>
        </w:tc>
        <w:tc>
          <w:tcPr>
            <w:tcW w:w="160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434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7E15B5" w:rsidRPr="00535EEC" w:rsidTr="009F23DE">
        <w:trPr>
          <w:cantSplit/>
          <w:trHeight w:val="1412"/>
        </w:trPr>
        <w:tc>
          <w:tcPr>
            <w:tcW w:w="11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15B5" w:rsidRPr="00535EEC" w:rsidRDefault="007E15B5" w:rsidP="00494C9E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auto"/>
          </w:tcPr>
          <w:p w:rsidR="007E15B5" w:rsidRPr="003F0FD8" w:rsidRDefault="007E15B5" w:rsidP="000047D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3F0FD8">
              <w:rPr>
                <w:rFonts w:ascii="Arial Narrow" w:hAnsi="Arial Narrow" w:cs="Arial"/>
                <w:b w:val="0"/>
                <w:sz w:val="18"/>
                <w:szCs w:val="18"/>
              </w:rPr>
              <w:t>Conduct training (along with the implementing partner if applicable)</w:t>
            </w:r>
          </w:p>
        </w:tc>
        <w:tc>
          <w:tcPr>
            <w:tcW w:w="1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15B5" w:rsidRPr="00535EEC" w:rsidRDefault="007E15B5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E15B5" w:rsidRPr="00535EEC" w:rsidRDefault="007E15B5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15B5" w:rsidRPr="00535EEC" w:rsidRDefault="007E15B5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0047DF" w:rsidRPr="00535EEC" w:rsidTr="007E15B5">
        <w:trPr>
          <w:cantSplit/>
          <w:trHeight w:val="405"/>
        </w:trPr>
        <w:tc>
          <w:tcPr>
            <w:tcW w:w="2586" w:type="pct"/>
            <w:gridSpan w:val="2"/>
            <w:shd w:val="clear" w:color="auto" w:fill="auto"/>
            <w:vAlign w:val="center"/>
          </w:tcPr>
          <w:p w:rsidR="000047DF" w:rsidRPr="00535EEC" w:rsidRDefault="000047DF" w:rsidP="00494C9E">
            <w:pPr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535EEC">
              <w:rPr>
                <w:rFonts w:ascii="Arial Narrow" w:hAnsi="Arial Narrow" w:cs="Arial"/>
                <w:bCs w:val="0"/>
                <w:sz w:val="18"/>
                <w:szCs w:val="18"/>
              </w:rPr>
              <w:t>Monitoring &amp; Evaluation Activities</w:t>
            </w:r>
          </w:p>
        </w:tc>
        <w:tc>
          <w:tcPr>
            <w:tcW w:w="160" w:type="pct"/>
            <w:gridSpan w:val="2"/>
            <w:shd w:val="clear" w:color="auto" w:fill="auto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165" w:type="pct"/>
            <w:gridSpan w:val="2"/>
            <w:shd w:val="clear" w:color="auto" w:fill="auto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50477">
              <w:rPr>
                <w:rFonts w:ascii="Arial Narrow" w:hAnsi="Arial Narrow"/>
                <w:b w:val="0"/>
              </w:rPr>
              <w:sym w:font="Wingdings 2" w:char="F050"/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535EEC">
              <w:rPr>
                <w:rFonts w:ascii="Arial Narrow" w:hAnsi="Arial Narrow"/>
                <w:b w:val="0"/>
                <w:sz w:val="18"/>
                <w:szCs w:val="18"/>
              </w:rPr>
              <w:t>UNDP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0047DF" w:rsidRPr="00535EEC" w:rsidRDefault="000047DF" w:rsidP="007E15B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35EEC">
              <w:rPr>
                <w:rFonts w:ascii="Arial Narrow" w:hAnsi="Arial Narrow" w:cs="Arial"/>
                <w:b w:val="0"/>
                <w:sz w:val="18"/>
                <w:szCs w:val="18"/>
              </w:rPr>
              <w:t>M&amp;E activities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047DF" w:rsidRPr="007E15B5" w:rsidRDefault="000047DF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7E15B5">
              <w:rPr>
                <w:rFonts w:ascii="Arial Narrow" w:hAnsi="Arial Narrow"/>
                <w:bCs w:val="0"/>
                <w:sz w:val="18"/>
                <w:szCs w:val="18"/>
              </w:rPr>
              <w:t xml:space="preserve">$ </w:t>
            </w:r>
            <w:r w:rsidR="007E15B5" w:rsidRPr="007E15B5">
              <w:rPr>
                <w:rFonts w:ascii="Arial Narrow" w:hAnsi="Arial Narrow"/>
                <w:bCs w:val="0"/>
                <w:sz w:val="18"/>
                <w:szCs w:val="18"/>
              </w:rPr>
              <w:t>19</w:t>
            </w:r>
            <w:r w:rsidRPr="007E15B5">
              <w:rPr>
                <w:rFonts w:ascii="Arial Narrow" w:hAnsi="Arial Narrow"/>
                <w:bCs w:val="0"/>
                <w:sz w:val="18"/>
                <w:szCs w:val="18"/>
              </w:rPr>
              <w:t>,</w:t>
            </w:r>
            <w:r w:rsidR="007E15B5" w:rsidRPr="007E15B5">
              <w:rPr>
                <w:rFonts w:ascii="Arial Narrow" w:hAnsi="Arial Narrow"/>
                <w:bCs w:val="0"/>
                <w:sz w:val="18"/>
                <w:szCs w:val="18"/>
              </w:rPr>
              <w:t>417</w:t>
            </w:r>
          </w:p>
        </w:tc>
      </w:tr>
      <w:tr w:rsidR="000047DF" w:rsidRPr="00535EEC" w:rsidTr="000047DF">
        <w:trPr>
          <w:cantSplit/>
          <w:trHeight w:val="366"/>
        </w:trPr>
        <w:tc>
          <w:tcPr>
            <w:tcW w:w="1137" w:type="pct"/>
            <w:shd w:val="clear" w:color="auto" w:fill="CCCCCC"/>
            <w:vAlign w:val="center"/>
          </w:tcPr>
          <w:p w:rsidR="000047DF" w:rsidRPr="00535EEC" w:rsidRDefault="000047DF" w:rsidP="00E0499F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 w:rsidRPr="00535EEC">
              <w:rPr>
                <w:rFonts w:ascii="Arial Narrow" w:hAnsi="Arial Narrow"/>
                <w:bCs w:val="0"/>
                <w:sz w:val="18"/>
                <w:szCs w:val="18"/>
              </w:rPr>
              <w:t>Total</w:t>
            </w:r>
            <w:r w:rsidR="00E0499F">
              <w:rPr>
                <w:rFonts w:ascii="Arial Narrow" w:hAnsi="Arial Narrow"/>
                <w:bCs w:val="0"/>
                <w:sz w:val="18"/>
                <w:szCs w:val="18"/>
              </w:rPr>
              <w:t xml:space="preserve"> expenditure  </w:t>
            </w:r>
          </w:p>
        </w:tc>
        <w:tc>
          <w:tcPr>
            <w:tcW w:w="1449" w:type="pct"/>
            <w:tcBorders>
              <w:right w:val="nil"/>
            </w:tcBorders>
            <w:shd w:val="thinDiagCross" w:color="auto" w:fill="CCCCCC"/>
          </w:tcPr>
          <w:p w:rsidR="000047DF" w:rsidRPr="00535EEC" w:rsidRDefault="000047DF" w:rsidP="00494C9E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82" w:type="pct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461" w:type="pct"/>
            <w:gridSpan w:val="3"/>
            <w:tcBorders>
              <w:left w:val="nil"/>
            </w:tcBorders>
            <w:shd w:val="thinDiagCross" w:color="auto" w:fill="CCCCCC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CCCCCC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CCCCCC"/>
          </w:tcPr>
          <w:p w:rsidR="000047DF" w:rsidRPr="007E15B5" w:rsidRDefault="000047DF" w:rsidP="007E15B5">
            <w:pPr>
              <w:jc w:val="center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E15B5">
              <w:rPr>
                <w:rFonts w:ascii="Arial Narrow" w:hAnsi="Arial Narrow" w:cs="Arial"/>
                <w:bCs w:val="0"/>
                <w:sz w:val="18"/>
                <w:szCs w:val="18"/>
              </w:rPr>
              <w:t>$ 9</w:t>
            </w:r>
            <w:r w:rsidR="007E15B5" w:rsidRPr="007E15B5">
              <w:rPr>
                <w:rFonts w:ascii="Arial Narrow" w:hAnsi="Arial Narrow" w:cs="Arial"/>
                <w:bCs w:val="0"/>
                <w:sz w:val="18"/>
                <w:szCs w:val="18"/>
              </w:rPr>
              <w:t>70,874</w:t>
            </w:r>
          </w:p>
        </w:tc>
      </w:tr>
      <w:tr w:rsidR="000047DF" w:rsidRPr="00535EEC" w:rsidTr="000047DF">
        <w:trPr>
          <w:cantSplit/>
          <w:trHeight w:val="366"/>
        </w:trPr>
        <w:tc>
          <w:tcPr>
            <w:tcW w:w="1137" w:type="pct"/>
            <w:shd w:val="clear" w:color="auto" w:fill="CCCCCC"/>
          </w:tcPr>
          <w:p w:rsidR="000047DF" w:rsidRPr="00535EEC" w:rsidRDefault="000047DF" w:rsidP="00494C9E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 w:rsidRPr="00535EEC">
              <w:rPr>
                <w:rFonts w:ascii="Arial Narrow" w:hAnsi="Arial Narrow"/>
                <w:bCs w:val="0"/>
                <w:sz w:val="18"/>
                <w:szCs w:val="18"/>
              </w:rPr>
              <w:t>General Management Support (GMS)</w:t>
            </w:r>
          </w:p>
        </w:tc>
        <w:tc>
          <w:tcPr>
            <w:tcW w:w="1449" w:type="pct"/>
            <w:tcBorders>
              <w:right w:val="nil"/>
            </w:tcBorders>
            <w:shd w:val="thinDiagCross" w:color="auto" w:fill="CCCCCC"/>
          </w:tcPr>
          <w:p w:rsidR="000047DF" w:rsidRPr="00535EEC" w:rsidRDefault="000047DF" w:rsidP="00494C9E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82" w:type="pct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461" w:type="pct"/>
            <w:gridSpan w:val="3"/>
            <w:tcBorders>
              <w:left w:val="nil"/>
            </w:tcBorders>
            <w:shd w:val="thinDiagCross" w:color="auto" w:fill="CCCCCC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CCCCCC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CCCCCC"/>
          </w:tcPr>
          <w:p w:rsidR="000047DF" w:rsidRPr="007E15B5" w:rsidRDefault="007E15B5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7E15B5">
              <w:rPr>
                <w:rFonts w:ascii="Arial Narrow" w:hAnsi="Arial Narrow"/>
                <w:bCs w:val="0"/>
                <w:sz w:val="18"/>
                <w:szCs w:val="18"/>
              </w:rPr>
              <w:t xml:space="preserve"> $ 29,126</w:t>
            </w:r>
          </w:p>
        </w:tc>
      </w:tr>
      <w:tr w:rsidR="000047DF" w:rsidRPr="00535EEC" w:rsidTr="000047DF">
        <w:trPr>
          <w:cantSplit/>
          <w:trHeight w:val="366"/>
        </w:trPr>
        <w:tc>
          <w:tcPr>
            <w:tcW w:w="1137" w:type="pct"/>
            <w:shd w:val="clear" w:color="auto" w:fill="CCCCCC"/>
          </w:tcPr>
          <w:p w:rsidR="000047DF" w:rsidRPr="00535EEC" w:rsidRDefault="00E0499F" w:rsidP="00494C9E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Cs w:val="0"/>
                <w:sz w:val="18"/>
                <w:szCs w:val="18"/>
              </w:rPr>
              <w:t>Total</w:t>
            </w:r>
          </w:p>
        </w:tc>
        <w:tc>
          <w:tcPr>
            <w:tcW w:w="1449" w:type="pct"/>
            <w:tcBorders>
              <w:right w:val="nil"/>
            </w:tcBorders>
            <w:shd w:val="thinDiagCross" w:color="auto" w:fill="CCCCCC"/>
          </w:tcPr>
          <w:p w:rsidR="000047DF" w:rsidRPr="00535EEC" w:rsidRDefault="000047DF" w:rsidP="00494C9E">
            <w:pPr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82" w:type="pct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left w:val="nil"/>
              <w:right w:val="nil"/>
            </w:tcBorders>
            <w:shd w:val="thinDiagCross" w:color="auto" w:fill="CCCCCC"/>
            <w:vAlign w:val="center"/>
          </w:tcPr>
          <w:p w:rsidR="000047DF" w:rsidRPr="00535EEC" w:rsidRDefault="000047DF" w:rsidP="00494C9E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461" w:type="pct"/>
            <w:gridSpan w:val="3"/>
            <w:tcBorders>
              <w:left w:val="nil"/>
            </w:tcBorders>
            <w:shd w:val="thinDiagCross" w:color="auto" w:fill="CCCCCC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CCCCCC"/>
          </w:tcPr>
          <w:p w:rsidR="000047DF" w:rsidRPr="00535EEC" w:rsidRDefault="000047DF" w:rsidP="007E15B5">
            <w:pPr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CCCCCC"/>
          </w:tcPr>
          <w:p w:rsidR="000047DF" w:rsidRPr="007E15B5" w:rsidRDefault="007E15B5" w:rsidP="007E15B5">
            <w:pPr>
              <w:jc w:val="center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7E15B5">
              <w:rPr>
                <w:rFonts w:ascii="Arial Narrow" w:hAnsi="Arial Narrow" w:cs="Arial"/>
                <w:bCs w:val="0"/>
                <w:sz w:val="18"/>
                <w:szCs w:val="18"/>
              </w:rPr>
              <w:t>$ 1,000,000</w:t>
            </w:r>
          </w:p>
        </w:tc>
      </w:tr>
    </w:tbl>
    <w:p w:rsidR="00A21DEB" w:rsidRDefault="00A21DEB"/>
    <w:sectPr w:rsidR="00A21DEB" w:rsidSect="000047DF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FE" w:rsidRDefault="00AE03FE" w:rsidP="002917DE">
      <w:pPr>
        <w:spacing w:after="0" w:line="240" w:lineRule="auto"/>
      </w:pPr>
      <w:r>
        <w:separator/>
      </w:r>
    </w:p>
  </w:endnote>
  <w:endnote w:type="continuationSeparator" w:id="0">
    <w:p w:rsidR="00AE03FE" w:rsidRDefault="00AE03FE" w:rsidP="0029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1338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E616F" w:rsidRDefault="00EE616F">
            <w:pPr>
              <w:pStyle w:val="Footer"/>
            </w:pPr>
            <w:r w:rsidRPr="00EE616F">
              <w:rPr>
                <w:sz w:val="22"/>
                <w:szCs w:val="22"/>
              </w:rPr>
              <w:t xml:space="preserve">Page </w:t>
            </w:r>
            <w:r w:rsidRPr="00EE616F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Pr="00EE616F">
              <w:rPr>
                <w:sz w:val="22"/>
                <w:szCs w:val="22"/>
              </w:rPr>
              <w:instrText xml:space="preserve"> PAGE </w:instrText>
            </w:r>
            <w:r w:rsidRPr="00EE616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5F2818">
              <w:rPr>
                <w:noProof/>
                <w:sz w:val="22"/>
                <w:szCs w:val="22"/>
              </w:rPr>
              <w:t>2</w:t>
            </w:r>
            <w:r w:rsidRPr="00EE616F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E616F">
              <w:rPr>
                <w:sz w:val="22"/>
                <w:szCs w:val="22"/>
              </w:rPr>
              <w:t xml:space="preserve"> of </w:t>
            </w:r>
            <w:r w:rsidRPr="00EE616F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Pr="00EE616F">
              <w:rPr>
                <w:sz w:val="22"/>
                <w:szCs w:val="22"/>
              </w:rPr>
              <w:instrText xml:space="preserve"> NUMPAGES  </w:instrText>
            </w:r>
            <w:r w:rsidRPr="00EE616F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5F2818">
              <w:rPr>
                <w:noProof/>
                <w:sz w:val="22"/>
                <w:szCs w:val="22"/>
              </w:rPr>
              <w:t>3</w:t>
            </w:r>
            <w:r w:rsidRPr="00EE616F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sdtContent>
      </w:sdt>
    </w:sdtContent>
  </w:sdt>
  <w:p w:rsidR="002917DE" w:rsidRDefault="00291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FE" w:rsidRDefault="00AE03FE" w:rsidP="002917DE">
      <w:pPr>
        <w:spacing w:after="0" w:line="240" w:lineRule="auto"/>
      </w:pPr>
      <w:r>
        <w:separator/>
      </w:r>
    </w:p>
  </w:footnote>
  <w:footnote w:type="continuationSeparator" w:id="0">
    <w:p w:rsidR="00AE03FE" w:rsidRDefault="00AE03FE" w:rsidP="0029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442C2"/>
    <w:multiLevelType w:val="multilevel"/>
    <w:tmpl w:val="D188D06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31D16"/>
    <w:multiLevelType w:val="multilevel"/>
    <w:tmpl w:val="CE8679E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25E80"/>
    <w:multiLevelType w:val="multilevel"/>
    <w:tmpl w:val="7F4CFC5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2AE9"/>
    <w:multiLevelType w:val="multilevel"/>
    <w:tmpl w:val="2D88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A45AF"/>
    <w:multiLevelType w:val="multilevel"/>
    <w:tmpl w:val="93D84FF8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746EE"/>
    <w:multiLevelType w:val="multilevel"/>
    <w:tmpl w:val="9C04E78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DF"/>
    <w:rsid w:val="000047DF"/>
    <w:rsid w:val="002917DE"/>
    <w:rsid w:val="005351B7"/>
    <w:rsid w:val="005F2818"/>
    <w:rsid w:val="007E15B5"/>
    <w:rsid w:val="00A21DEB"/>
    <w:rsid w:val="00AE03FE"/>
    <w:rsid w:val="00B93F47"/>
    <w:rsid w:val="00BD634F"/>
    <w:rsid w:val="00E0499F"/>
    <w:rsid w:val="00E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F7723-02F9-4F11-977D-806BE0B7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DF"/>
    <w:pPr>
      <w:spacing w:after="60" w:line="276" w:lineRule="auto"/>
      <w:jc w:val="both"/>
    </w:pPr>
    <w:rPr>
      <w:rFonts w:asciiTheme="majorBidi" w:eastAsia="Times New Roman" w:hAnsiTheme="majorBidi" w:cstheme="majorBidi"/>
      <w:b/>
      <w:bCs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DF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nhideWhenUsed/>
    <w:rsid w:val="000047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7DF"/>
    <w:rPr>
      <w:rFonts w:asciiTheme="majorBidi" w:eastAsia="Times New Roman" w:hAnsiTheme="majorBidi" w:cstheme="majorBidi"/>
      <w:b/>
      <w:bCs/>
      <w:color w:val="000000"/>
      <w:sz w:val="28"/>
      <w:szCs w:val="28"/>
      <w:lang w:val="en-GB"/>
    </w:rPr>
  </w:style>
  <w:style w:type="paragraph" w:styleId="NoSpacing">
    <w:name w:val="No Spacing"/>
    <w:uiPriority w:val="1"/>
    <w:qFormat/>
    <w:rsid w:val="000047DF"/>
    <w:pPr>
      <w:spacing w:after="0" w:line="240" w:lineRule="auto"/>
      <w:jc w:val="both"/>
    </w:pPr>
    <w:rPr>
      <w:rFonts w:asciiTheme="majorBidi" w:eastAsia="Times New Roman" w:hAnsiTheme="majorBidi" w:cstheme="majorBidi"/>
      <w:b/>
      <w:bCs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47"/>
    <w:rPr>
      <w:rFonts w:ascii="Segoe UI" w:eastAsia="Times New Roman" w:hAnsi="Segoe UI" w:cs="Segoe UI"/>
      <w:b/>
      <w:bCs/>
      <w:color w:val="000000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17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DE"/>
    <w:rPr>
      <w:rFonts w:asciiTheme="majorBidi" w:eastAsia="Times New Roman" w:hAnsiTheme="majorBidi" w:cstheme="majorBidi"/>
      <w:b/>
      <w:bCs/>
      <w:color w:val="00000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2015-12-06T10:00:00+00:00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1482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00013278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KWT</TermName>
          <TermId xmlns="http://schemas.microsoft.com/office/infopath/2007/PartnerControls">f09bdda9-6747-4117-880b-9db45632a044</TermId>
        </TermInfo>
      </Terms>
    </gc6531b704974d528487414686b72f6f>
    <_dlc_DocId xmlns="f1161f5b-24a3-4c2d-bc81-44cb9325e8ee">ATLASPDC-4-42845</_dlc_DocId>
    <_dlc_DocIdUrl xmlns="f1161f5b-24a3-4c2d-bc81-44cb9325e8ee">
      <Url>https://info.undp.org/docs/pdc/_layouts/DocIdRedir.aspx?ID=ATLASPDC-4-42845</Url>
      <Description>ATLASPDC-4-42845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026D602-A2EF-4F90-828D-14B764A33BDE}"/>
</file>

<file path=customXml/itemProps2.xml><?xml version="1.0" encoding="utf-8"?>
<ds:datastoreItem xmlns:ds="http://schemas.openxmlformats.org/officeDocument/2006/customXml" ds:itemID="{18B6F41A-8478-43A5-9615-5E793B9F2B8C}"/>
</file>

<file path=customXml/itemProps3.xml><?xml version="1.0" encoding="utf-8"?>
<ds:datastoreItem xmlns:ds="http://schemas.openxmlformats.org/officeDocument/2006/customXml" ds:itemID="{8867F9A8-3FE8-4C7D-B3B6-A644749FB599}"/>
</file>

<file path=customXml/itemProps4.xml><?xml version="1.0" encoding="utf-8"?>
<ds:datastoreItem xmlns:ds="http://schemas.openxmlformats.org/officeDocument/2006/customXml" ds:itemID="{C8141D1C-C765-4B98-8A2E-3C67105FDF18}"/>
</file>

<file path=customXml/itemProps5.xml><?xml version="1.0" encoding="utf-8"?>
<ds:datastoreItem xmlns:ds="http://schemas.openxmlformats.org/officeDocument/2006/customXml" ds:itemID="{BCA6E3EA-AA1A-49EF-A3D0-4EECEE778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AWP-SAB 2015</dc:title>
  <dc:subject/>
  <dc:creator>Fatima Alseri</dc:creator>
  <cp:keywords/>
  <dc:description/>
  <cp:lastModifiedBy>Fatima Alseri</cp:lastModifiedBy>
  <cp:revision>6</cp:revision>
  <cp:lastPrinted>2015-08-17T13:23:00Z</cp:lastPrinted>
  <dcterms:created xsi:type="dcterms:W3CDTF">2015-07-29T14:24:00Z</dcterms:created>
  <dcterms:modified xsi:type="dcterms:W3CDTF">2015-12-06T10:31:00Z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1482;#KWT|f09bdda9-6747-4117-880b-9db45632a044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a231d104-4198-47b0-a238-9f321d9fc734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